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E9D" w:rsidRDefault="00E34E9D" w:rsidP="00E34E9D">
      <w:pPr>
        <w:jc w:val="center"/>
        <w:rPr>
          <w:rFonts w:ascii="Arial" w:hAnsi="Arial" w:cs="Arial"/>
          <w:i/>
          <w:color w:val="000000" w:themeColor="text1"/>
          <w:sz w:val="20"/>
          <w:szCs w:val="20"/>
        </w:rPr>
      </w:pPr>
      <w:r w:rsidRPr="00F46C09">
        <w:rPr>
          <w:rFonts w:ascii="Arial" w:hAnsi="Arial" w:cs="Arial"/>
          <w:b/>
          <w:color w:val="000000" w:themeColor="text1"/>
          <w:sz w:val="20"/>
          <w:szCs w:val="20"/>
        </w:rPr>
        <w:t>Phụ lục XIV</w:t>
      </w:r>
      <w:r w:rsidRPr="00F46C09">
        <w:rPr>
          <w:rFonts w:ascii="Arial" w:hAnsi="Arial" w:cs="Arial"/>
          <w:b/>
          <w:color w:val="000000" w:themeColor="text1"/>
          <w:sz w:val="20"/>
          <w:szCs w:val="20"/>
        </w:rPr>
        <w:br/>
      </w:r>
      <w:r w:rsidRPr="00F46C09">
        <w:rPr>
          <w:rFonts w:ascii="Arial" w:hAnsi="Arial" w:cs="Arial"/>
          <w:i/>
          <w:color w:val="000000" w:themeColor="text1"/>
          <w:sz w:val="20"/>
          <w:szCs w:val="20"/>
        </w:rPr>
        <w:t xml:space="preserve">(Ban hành kèm theo Thông tư số 12/2025/TT-BXD ngày 30 tháng 6 năm 2025 </w:t>
      </w:r>
      <w:r>
        <w:rPr>
          <w:rFonts w:ascii="Arial" w:hAnsi="Arial" w:cs="Arial"/>
          <w:i/>
          <w:color w:val="000000" w:themeColor="text1"/>
          <w:sz w:val="20"/>
          <w:szCs w:val="20"/>
        </w:rPr>
        <w:br/>
      </w:r>
      <w:r w:rsidRPr="00F46C09">
        <w:rPr>
          <w:rFonts w:ascii="Arial" w:hAnsi="Arial" w:cs="Arial"/>
          <w:i/>
          <w:color w:val="000000" w:themeColor="text1"/>
          <w:sz w:val="20"/>
          <w:szCs w:val="20"/>
        </w:rPr>
        <w:t>của Bộ trưởng Bộ Xây dựng)</w:t>
      </w:r>
    </w:p>
    <w:p w:rsidR="00E34E9D" w:rsidRDefault="00E34E9D" w:rsidP="00E34E9D">
      <w:pPr>
        <w:jc w:val="center"/>
        <w:rPr>
          <w:rFonts w:ascii="Arial" w:hAnsi="Arial" w:cs="Arial"/>
          <w:color w:val="000000" w:themeColor="text1"/>
          <w:sz w:val="20"/>
          <w:szCs w:val="20"/>
          <w:vertAlign w:val="superscript"/>
        </w:rPr>
      </w:pPr>
      <w:r>
        <w:rPr>
          <w:rFonts w:ascii="Arial" w:hAnsi="Arial" w:cs="Arial"/>
          <w:color w:val="000000" w:themeColor="text1"/>
          <w:sz w:val="20"/>
          <w:szCs w:val="20"/>
          <w:vertAlign w:val="superscript"/>
        </w:rPr>
        <w:t>_________</w:t>
      </w:r>
      <w:r w:rsidRPr="00F46C09">
        <w:rPr>
          <w:rFonts w:ascii="Arial" w:hAnsi="Arial" w:cs="Arial"/>
          <w:color w:val="000000" w:themeColor="text1"/>
          <w:sz w:val="20"/>
          <w:szCs w:val="20"/>
          <w:vertAlign w:val="superscript"/>
        </w:rPr>
        <w:t>_</w:t>
      </w:r>
    </w:p>
    <w:p w:rsidR="00E34E9D" w:rsidRPr="00F46C09" w:rsidRDefault="00E34E9D" w:rsidP="00E34E9D">
      <w:pPr>
        <w:jc w:val="center"/>
        <w:rPr>
          <w:rFonts w:ascii="Arial" w:hAnsi="Arial" w:cs="Arial"/>
          <w:b/>
          <w:color w:val="000000" w:themeColor="text1"/>
          <w:sz w:val="20"/>
          <w:szCs w:val="20"/>
        </w:rPr>
      </w:pPr>
    </w:p>
    <w:p w:rsidR="00E34E9D" w:rsidRDefault="00E34E9D" w:rsidP="00E34E9D">
      <w:pPr>
        <w:jc w:val="center"/>
        <w:rPr>
          <w:rFonts w:ascii="Arial" w:hAnsi="Arial" w:cs="Arial"/>
          <w:b/>
          <w:color w:val="000000" w:themeColor="text1"/>
          <w:sz w:val="20"/>
          <w:szCs w:val="20"/>
        </w:rPr>
      </w:pPr>
      <w:r w:rsidRPr="00F46C09">
        <w:rPr>
          <w:rFonts w:ascii="Arial" w:hAnsi="Arial" w:cs="Arial"/>
          <w:b/>
          <w:color w:val="000000" w:themeColor="text1"/>
          <w:sz w:val="20"/>
          <w:szCs w:val="20"/>
        </w:rPr>
        <w:t>Hướng dẫn xếp hàng vào công te nơ</w:t>
      </w:r>
    </w:p>
    <w:p w:rsidR="00E34E9D" w:rsidRPr="00F46C09" w:rsidRDefault="00E34E9D" w:rsidP="00E34E9D">
      <w:pPr>
        <w:jc w:val="center"/>
        <w:rPr>
          <w:rFonts w:ascii="Arial" w:hAnsi="Arial" w:cs="Arial"/>
          <w:b/>
          <w:color w:val="000000" w:themeColor="text1"/>
          <w:sz w:val="20"/>
          <w:szCs w:val="20"/>
        </w:rPr>
      </w:pPr>
    </w:p>
    <w:p w:rsidR="00E34E9D" w:rsidRPr="00F46C09" w:rsidRDefault="00E34E9D" w:rsidP="00E34E9D">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1. Xếp hàng hóa trong công te nơ</w:t>
      </w:r>
    </w:p>
    <w:p w:rsidR="00E34E9D" w:rsidRPr="00F46C09" w:rsidRDefault="00E34E9D" w:rsidP="00E34E9D">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Một số nguyên tắc khi xếp hàng hóa trong công te nơ:</w:t>
      </w:r>
    </w:p>
    <w:p w:rsidR="00E34E9D" w:rsidRPr="00F46C09" w:rsidRDefault="00E34E9D" w:rsidP="00E34E9D">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a) Xếp hàng hóa không được vượt quá tải trọng quy định của công te nơ;</w:t>
      </w:r>
    </w:p>
    <w:p w:rsidR="00E34E9D" w:rsidRPr="00F46C09" w:rsidRDefault="00E34E9D" w:rsidP="00E34E9D">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b) Xếp hàng phải phân bổ đều khắp diện tích sàn (tấm đáy) của công te nơ; không được đặt nhiều hơn 60% khối lượng hàng hóa trên một nửa (1/2) chiều dài của công te nơ. Nếu trường hợp này xảy ra, nó có thể dẫn đến quá tải cho trục;</w:t>
      </w:r>
    </w:p>
    <w:p w:rsidR="00E34E9D" w:rsidRPr="00F46C09" w:rsidRDefault="00E34E9D" w:rsidP="00E34E9D">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 Những hàng nặng hơn không được xếp lên trên hàng nhẹ hơn;</w:t>
      </w:r>
    </w:p>
    <w:p w:rsidR="00E34E9D" w:rsidRPr="00F46C09" w:rsidRDefault="00E34E9D" w:rsidP="00E34E9D">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d) Hàng hóa phải được chằng buộc trong công te nơ để chống được mọi lực tác động dự kiến xuất hiện trong quá trình vận chuyển. Những khe hở giữa các lớp hàng và giữa lô hàng và thành công te nơ được chèn bằng vật liệu đệm lót sạch sẽ, khô ráo như tấm nhám tăng ma sát, mâm hàng, rơm rạ, cỏ khô, vỏ bào, phên tre đan, túi khí…;</w:t>
      </w:r>
    </w:p>
    <w:p w:rsidR="00E34E9D" w:rsidRPr="00F46C09" w:rsidRDefault="00E34E9D" w:rsidP="00E34E9D">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đ) Khi hàng chuyên chở là máy móc có hình dáng phức tạp, khó xác định trọng tâm thì phải làm giá đỡ thích hợp có chèn đệm, chằng buộc để cố định vị trí của chúng;</w:t>
      </w:r>
    </w:p>
    <w:p w:rsidR="00E34E9D" w:rsidRPr="00F46C09" w:rsidRDefault="00E34E9D" w:rsidP="00E34E9D">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e) Không chằng buộc quá căng làm tăng áp lực lớn lên các điểm tựa tương đối yếu của công te nơ như: cửa, vách mặt trước. Các cột chống hoặc giá đỡ được bố trí theo chiều dọc của công te nơ;</w:t>
      </w:r>
    </w:p>
    <w:p w:rsidR="00E34E9D" w:rsidRPr="00F46C09" w:rsidRDefault="00E34E9D" w:rsidP="00E34E9D">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g) Sau khi việc đóng gói hàng vào công te nơ được hoàn thành, các bậc chặn cần được chèn vào nếu cần thiết để chắc chắn rằng hàng hóa và những miếng lót, chèn không bị rơi ra khi các cánh cửa mở ra. Lưới chằng buộc thường sử dụng cho mục đích này; cách khác là có thể dựng cửa gỗ hoặc kim loại. Cần luôn luôn kiểm tra để đảm bảo các cửa đã được khóa và các cơ chế khóa theo đúng trình tự hoạt động.</w:t>
      </w:r>
    </w:p>
    <w:p w:rsidR="00E34E9D" w:rsidRPr="00F46C09" w:rsidRDefault="00E34E9D" w:rsidP="00E34E9D">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 Một số hình ảnh minh họa về xếp hàng hóa trong công te nơ</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14"/>
        <w:gridCol w:w="4515"/>
      </w:tblGrid>
      <w:tr w:rsidR="00E34E9D" w:rsidRPr="00F46C09" w:rsidTr="00A455E4">
        <w:tc>
          <w:tcPr>
            <w:tcW w:w="2500" w:type="pct"/>
          </w:tcPr>
          <w:p w:rsidR="00E34E9D" w:rsidRPr="00F46C09" w:rsidRDefault="00E34E9D" w:rsidP="00A455E4">
            <w:pPr>
              <w:jc w:val="center"/>
              <w:rPr>
                <w:rFonts w:ascii="Arial" w:hAnsi="Arial" w:cs="Arial"/>
                <w:color w:val="000000" w:themeColor="text1"/>
                <w:sz w:val="20"/>
                <w:szCs w:val="20"/>
                <w:lang w:val="en-US"/>
              </w:rPr>
            </w:pPr>
            <w:r w:rsidRPr="00F46C09">
              <w:rPr>
                <w:rFonts w:ascii="Arial" w:hAnsi="Arial" w:cs="Arial"/>
                <w:noProof/>
                <w:color w:val="000000" w:themeColor="text1"/>
                <w:sz w:val="20"/>
                <w:szCs w:val="20"/>
                <w:lang w:val="en-US" w:eastAsia="en-US" w:bidi="ar-SA"/>
              </w:rPr>
              <w:drawing>
                <wp:inline distT="0" distB="0" distL="0" distR="0" wp14:anchorId="671D81BD" wp14:editId="72070C32">
                  <wp:extent cx="2115820" cy="11055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15820" cy="1105535"/>
                          </a:xfrm>
                          <a:prstGeom prst="rect">
                            <a:avLst/>
                          </a:prstGeom>
                          <a:noFill/>
                          <a:ln>
                            <a:noFill/>
                          </a:ln>
                        </pic:spPr>
                      </pic:pic>
                    </a:graphicData>
                  </a:graphic>
                </wp:inline>
              </w:drawing>
            </w:r>
          </w:p>
        </w:tc>
        <w:tc>
          <w:tcPr>
            <w:tcW w:w="2500" w:type="pct"/>
          </w:tcPr>
          <w:p w:rsidR="00E34E9D" w:rsidRPr="00F46C09" w:rsidRDefault="00E34E9D" w:rsidP="00A455E4">
            <w:pPr>
              <w:rPr>
                <w:rFonts w:ascii="Arial" w:hAnsi="Arial" w:cs="Arial"/>
                <w:color w:val="000000" w:themeColor="text1"/>
                <w:sz w:val="20"/>
                <w:szCs w:val="20"/>
              </w:rPr>
            </w:pPr>
            <w:r w:rsidRPr="00F46C09">
              <w:rPr>
                <w:rFonts w:ascii="Arial" w:hAnsi="Arial" w:cs="Arial"/>
                <w:color w:val="000000" w:themeColor="text1"/>
                <w:sz w:val="20"/>
                <w:szCs w:val="20"/>
              </w:rPr>
              <w:t>Nhìn từ trên xuống</w:t>
            </w:r>
          </w:p>
          <w:p w:rsidR="00E34E9D" w:rsidRPr="00F46C09" w:rsidRDefault="00E34E9D" w:rsidP="00A455E4">
            <w:pPr>
              <w:rPr>
                <w:rFonts w:ascii="Arial" w:hAnsi="Arial" w:cs="Arial"/>
                <w:color w:val="000000" w:themeColor="text1"/>
                <w:sz w:val="20"/>
                <w:szCs w:val="20"/>
                <w:lang w:val="en-US"/>
              </w:rPr>
            </w:pPr>
            <w:r w:rsidRPr="00F46C09">
              <w:rPr>
                <w:rFonts w:ascii="Arial" w:hAnsi="Arial" w:cs="Arial"/>
                <w:color w:val="000000" w:themeColor="text1"/>
                <w:sz w:val="20"/>
                <w:szCs w:val="20"/>
              </w:rPr>
              <w:t xml:space="preserve">Những thùng hình trụ được xếp chồng đôi trong một khối gọn và được buộc chặt </w:t>
            </w:r>
          </w:p>
        </w:tc>
      </w:tr>
      <w:tr w:rsidR="00E34E9D" w:rsidRPr="00F46C09" w:rsidTr="00A455E4">
        <w:tc>
          <w:tcPr>
            <w:tcW w:w="2500" w:type="pct"/>
          </w:tcPr>
          <w:p w:rsidR="00E34E9D" w:rsidRPr="00F46C09" w:rsidRDefault="00E34E9D" w:rsidP="00A455E4">
            <w:pPr>
              <w:jc w:val="center"/>
              <w:rPr>
                <w:rFonts w:ascii="Arial" w:hAnsi="Arial" w:cs="Arial"/>
                <w:color w:val="000000" w:themeColor="text1"/>
                <w:sz w:val="20"/>
                <w:szCs w:val="20"/>
                <w:lang w:val="en-US"/>
              </w:rPr>
            </w:pPr>
            <w:r w:rsidRPr="00F46C09">
              <w:rPr>
                <w:rFonts w:ascii="Arial" w:hAnsi="Arial" w:cs="Arial"/>
                <w:noProof/>
                <w:color w:val="000000" w:themeColor="text1"/>
                <w:sz w:val="20"/>
                <w:szCs w:val="20"/>
                <w:lang w:val="en-US" w:eastAsia="en-US" w:bidi="ar-SA"/>
              </w:rPr>
              <w:drawing>
                <wp:inline distT="0" distB="0" distL="0" distR="0" wp14:anchorId="136BC085" wp14:editId="27C56697">
                  <wp:extent cx="1711960" cy="1445895"/>
                  <wp:effectExtent l="0" t="0" r="254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1960" cy="1445895"/>
                          </a:xfrm>
                          <a:prstGeom prst="rect">
                            <a:avLst/>
                          </a:prstGeom>
                          <a:noFill/>
                          <a:ln>
                            <a:noFill/>
                          </a:ln>
                        </pic:spPr>
                      </pic:pic>
                    </a:graphicData>
                  </a:graphic>
                </wp:inline>
              </w:drawing>
            </w:r>
          </w:p>
        </w:tc>
        <w:tc>
          <w:tcPr>
            <w:tcW w:w="2500" w:type="pct"/>
          </w:tcPr>
          <w:p w:rsidR="00E34E9D" w:rsidRPr="00F46C09" w:rsidRDefault="00E34E9D" w:rsidP="00A455E4">
            <w:pPr>
              <w:rPr>
                <w:rFonts w:ascii="Arial" w:hAnsi="Arial" w:cs="Arial"/>
                <w:color w:val="000000" w:themeColor="text1"/>
                <w:sz w:val="20"/>
                <w:szCs w:val="20"/>
              </w:rPr>
            </w:pPr>
            <w:r w:rsidRPr="00F46C09">
              <w:rPr>
                <w:rFonts w:ascii="Arial" w:hAnsi="Arial" w:cs="Arial"/>
                <w:color w:val="000000" w:themeColor="text1"/>
                <w:sz w:val="20"/>
                <w:szCs w:val="20"/>
              </w:rPr>
              <w:t>công te nơ 20’: thùng thép rời được buộc chặt bằng những đai có thể kéo căng mà nó đã được gắn vào khung của công te nơ</w:t>
            </w:r>
          </w:p>
        </w:tc>
      </w:tr>
    </w:tbl>
    <w:p w:rsidR="00E34E9D" w:rsidRPr="00F46C09" w:rsidRDefault="00E34E9D" w:rsidP="00E34E9D">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5.1. Minh họa về những thùng hàng rời được xếp 2 chồng trong công te nơ, 2 lớp và 4 hàng</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14"/>
        <w:gridCol w:w="4515"/>
      </w:tblGrid>
      <w:tr w:rsidR="00E34E9D" w:rsidRPr="00F46C09" w:rsidTr="00A455E4">
        <w:tc>
          <w:tcPr>
            <w:tcW w:w="2500" w:type="pct"/>
          </w:tcPr>
          <w:p w:rsidR="00E34E9D" w:rsidRPr="00F46C09" w:rsidRDefault="00E34E9D" w:rsidP="00A455E4">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5AFD7224" wp14:editId="4810AD43">
                  <wp:extent cx="2126615" cy="956945"/>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26615" cy="956945"/>
                          </a:xfrm>
                          <a:prstGeom prst="rect">
                            <a:avLst/>
                          </a:prstGeom>
                          <a:noFill/>
                          <a:ln>
                            <a:noFill/>
                          </a:ln>
                        </pic:spPr>
                      </pic:pic>
                    </a:graphicData>
                  </a:graphic>
                </wp:inline>
              </w:drawing>
            </w:r>
          </w:p>
        </w:tc>
        <w:tc>
          <w:tcPr>
            <w:tcW w:w="2500" w:type="pct"/>
          </w:tcPr>
          <w:p w:rsidR="00E34E9D" w:rsidRPr="00F46C09" w:rsidRDefault="00E34E9D" w:rsidP="00A455E4">
            <w:pPr>
              <w:rPr>
                <w:rFonts w:ascii="Arial" w:hAnsi="Arial" w:cs="Arial"/>
                <w:color w:val="000000" w:themeColor="text1"/>
                <w:sz w:val="20"/>
                <w:szCs w:val="20"/>
              </w:rPr>
            </w:pPr>
            <w:r w:rsidRPr="00F46C09">
              <w:rPr>
                <w:rFonts w:ascii="Arial" w:hAnsi="Arial" w:cs="Arial"/>
                <w:color w:val="000000" w:themeColor="text1"/>
                <w:sz w:val="20"/>
                <w:szCs w:val="20"/>
              </w:rPr>
              <w:t>Nhìn từ trên xuống</w:t>
            </w:r>
          </w:p>
          <w:p w:rsidR="00E34E9D" w:rsidRPr="00E85A6D" w:rsidRDefault="00E34E9D" w:rsidP="00A455E4">
            <w:pPr>
              <w:rPr>
                <w:rFonts w:ascii="Arial" w:hAnsi="Arial" w:cs="Arial"/>
                <w:color w:val="000000" w:themeColor="text1"/>
                <w:sz w:val="20"/>
                <w:szCs w:val="20"/>
              </w:rPr>
            </w:pPr>
            <w:r w:rsidRPr="00F46C09">
              <w:rPr>
                <w:rFonts w:ascii="Arial" w:hAnsi="Arial" w:cs="Arial"/>
                <w:color w:val="000000" w:themeColor="text1"/>
                <w:sz w:val="20"/>
                <w:szCs w:val="20"/>
              </w:rPr>
              <w:t>Sự kết hợp các thùng hàng trong một công te nơ hàng hóa tiêu chuẩn ISO, xếp thành 2 chồng và được buộc chặt.</w:t>
            </w:r>
          </w:p>
        </w:tc>
      </w:tr>
      <w:tr w:rsidR="00E34E9D" w:rsidRPr="00F46C09" w:rsidTr="00A455E4">
        <w:tc>
          <w:tcPr>
            <w:tcW w:w="2500" w:type="pct"/>
          </w:tcPr>
          <w:p w:rsidR="00E34E9D" w:rsidRPr="00F46C09" w:rsidRDefault="00E34E9D" w:rsidP="00A455E4">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lastRenderedPageBreak/>
              <w:drawing>
                <wp:inline distT="0" distB="0" distL="0" distR="0" wp14:anchorId="42D3C98B" wp14:editId="51E7AA0B">
                  <wp:extent cx="196723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67230" cy="1371600"/>
                          </a:xfrm>
                          <a:prstGeom prst="rect">
                            <a:avLst/>
                          </a:prstGeom>
                          <a:noFill/>
                          <a:ln>
                            <a:noFill/>
                          </a:ln>
                        </pic:spPr>
                      </pic:pic>
                    </a:graphicData>
                  </a:graphic>
                </wp:inline>
              </w:drawing>
            </w:r>
          </w:p>
        </w:tc>
        <w:tc>
          <w:tcPr>
            <w:tcW w:w="2500" w:type="pct"/>
          </w:tcPr>
          <w:p w:rsidR="00E34E9D" w:rsidRPr="00E85A6D" w:rsidRDefault="00E34E9D" w:rsidP="00A455E4">
            <w:pPr>
              <w:rPr>
                <w:rFonts w:ascii="Arial" w:hAnsi="Arial" w:cs="Arial"/>
                <w:color w:val="000000" w:themeColor="text1"/>
                <w:sz w:val="20"/>
                <w:szCs w:val="20"/>
              </w:rPr>
            </w:pPr>
            <w:r w:rsidRPr="00F46C09">
              <w:rPr>
                <w:rFonts w:ascii="Arial" w:hAnsi="Arial" w:cs="Arial"/>
                <w:color w:val="000000" w:themeColor="text1"/>
                <w:sz w:val="20"/>
                <w:szCs w:val="20"/>
              </w:rPr>
              <w:t>công te nơ 20’: các thùng hàng được khóa bằng những thanh gỗ xếp theo chiều ngang và những chỗ rỗng được chèn bằng các túi khí hoặc những vật liệu đóng gói tương tự.</w:t>
            </w:r>
          </w:p>
        </w:tc>
      </w:tr>
    </w:tbl>
    <w:p w:rsidR="00E34E9D" w:rsidRPr="00F46C09" w:rsidRDefault="00E34E9D" w:rsidP="00E34E9D">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5.2. Minh họa về các thùng hàng tải trọng trung bình được chồng đôi trong công te nơ</w:t>
      </w:r>
    </w:p>
    <w:p w:rsidR="0034473B" w:rsidRDefault="00E34E9D" w:rsidP="00E34E9D">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E9D"/>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34E9D"/>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A78BF"/>
  <w15:chartTrackingRefBased/>
  <w15:docId w15:val="{B245E851-DAD2-4F44-AB2E-DB85ADC63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34E9D"/>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34E9D"/>
    <w:pPr>
      <w:widowControl w:val="0"/>
      <w:spacing w:after="0"/>
      <w:ind w:firstLine="0"/>
      <w:jc w:val="left"/>
    </w:pPr>
    <w:rPr>
      <w:rFonts w:ascii="Courier New" w:eastAsia="Courier New" w:hAnsi="Courier New" w:cs="Courier New"/>
      <w:color w:val="auto"/>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2089</Characters>
  <Application>Microsoft Office Word</Application>
  <DocSecurity>0</DocSecurity>
  <Lines>17</Lines>
  <Paragraphs>4</Paragraphs>
  <ScaleCrop>false</ScaleCrop>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2025-09-05T08:43:00Z</dcterms:created>
  <dcterms:modified xsi:type="dcterms:W3CDTF">2025-09-05T08:44:00Z</dcterms:modified>
</cp:coreProperties>
</file>